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</w:t>
      </w:r>
      <w:r>
        <w:rPr>
          <w:b w:val="1"/>
          <w:color w:themeColor="text1" w:val="000000"/>
          <w:sz w:val="28"/>
        </w:rPr>
        <w:t>ониторинг</w:t>
      </w:r>
      <w:bookmarkStart w:id="1" w:name="_GoBack"/>
      <w:bookmarkEnd w:id="1"/>
      <w:r>
        <w:rPr>
          <w:b w:val="1"/>
          <w:color w:themeColor="text1" w:val="000000"/>
          <w:sz w:val="28"/>
        </w:rPr>
        <w:t xml:space="preserve">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транспорта и дорожного строительства Камчатского края)</w:t>
      </w:r>
      <w:r>
        <w:rPr>
          <w:b w:val="1"/>
          <w:color w:themeColor="text1" w:val="000000"/>
          <w:sz w:val="28"/>
        </w:rPr>
        <w:t xml:space="preserve"> </w:t>
      </w:r>
    </w:p>
    <w:p w14:paraId="02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за III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квартал</w:t>
      </w:r>
      <w:r>
        <w:rPr>
          <w:b w:val="1"/>
          <w:color w:themeColor="text1" w:val="000000"/>
          <w:sz w:val="28"/>
        </w:rPr>
        <w:t xml:space="preserve"> 2024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год</w:t>
      </w:r>
      <w:r>
        <w:rPr>
          <w:b w:val="1"/>
          <w:color w:themeColor="text1" w:val="000000"/>
          <w:sz w:val="28"/>
        </w:rPr>
        <w:t>а.</w:t>
      </w:r>
    </w:p>
    <w:p w14:paraId="03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</w:p>
    <w:p w14:paraId="04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Работа по рассмотрению обращений граждан в </w:t>
      </w:r>
      <w:r>
        <w:rPr>
          <w:color w:themeColor="text1" w:val="000000"/>
          <w:sz w:val="28"/>
        </w:rPr>
        <w:t>Министерстве транспорта и дорожного строительства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Камчатского края осуществляется на основ</w:t>
      </w:r>
      <w:r>
        <w:rPr>
          <w:color w:themeColor="text1" w:val="000000"/>
          <w:sz w:val="28"/>
        </w:rPr>
        <w:t>ании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Конституции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Российской Федерации и Федерального</w:t>
      </w:r>
      <w:r>
        <w:rPr>
          <w:color w:themeColor="text1" w:val="000000"/>
          <w:sz w:val="28"/>
        </w:rPr>
        <w:t xml:space="preserve"> закон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от 2 мая 2006 года № 59-ФЗ «О порядке рассмотрения обращений граждан Российской Федерации».</w:t>
      </w:r>
    </w:p>
    <w:p w14:paraId="05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Министерство транспорта и дорожного строительства</w:t>
      </w:r>
      <w:r>
        <w:rPr>
          <w:color w:themeColor="text1" w:val="000000"/>
          <w:sz w:val="28"/>
        </w:rPr>
        <w:t xml:space="preserve"> Камчатского кр</w:t>
      </w:r>
      <w:r>
        <w:rPr>
          <w:b w:val="0"/>
          <w:color w:themeColor="text1" w:val="000000"/>
          <w:sz w:val="28"/>
        </w:rPr>
        <w:t xml:space="preserve">ая </w:t>
      </w:r>
      <w:r>
        <w:rPr>
          <w:b w:val="0"/>
          <w:color w:themeColor="text1" w:val="000000"/>
          <w:sz w:val="28"/>
        </w:rPr>
        <w:t>за</w:t>
      </w:r>
      <w:r>
        <w:rPr>
          <w:b w:val="0"/>
          <w:color w:themeColor="text1" w:val="000000"/>
          <w:sz w:val="28"/>
        </w:rPr>
        <w:t xml:space="preserve"> III квартал</w:t>
      </w:r>
      <w:r>
        <w:rPr>
          <w:b w:val="0"/>
          <w:color w:themeColor="text1" w:val="000000"/>
          <w:sz w:val="28"/>
        </w:rPr>
        <w:t xml:space="preserve"> 2</w:t>
      </w:r>
      <w:r>
        <w:rPr>
          <w:b w:val="0"/>
          <w:color w:themeColor="text1" w:val="000000"/>
          <w:sz w:val="28"/>
        </w:rPr>
        <w:t>024</w:t>
      </w:r>
      <w:r>
        <w:rPr>
          <w:b w:val="0"/>
          <w:color w:themeColor="text1" w:val="000000"/>
          <w:sz w:val="28"/>
        </w:rPr>
        <w:t xml:space="preserve"> год</w:t>
      </w:r>
      <w:r>
        <w:rPr>
          <w:b w:val="0"/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</w:t>
      </w:r>
      <w:r>
        <w:rPr>
          <w:color w:themeColor="text1" w:val="000000"/>
          <w:sz w:val="28"/>
        </w:rPr>
        <w:t>оступило на рассмотрение</w:t>
      </w:r>
      <w:r>
        <w:rPr>
          <w:color w:themeColor="text1" w:val="000000"/>
          <w:sz w:val="28"/>
        </w:rPr>
        <w:t xml:space="preserve"> 70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</w:t>
      </w:r>
      <w:r>
        <w:rPr>
          <w:color w:themeColor="text1" w:val="000000"/>
          <w:sz w:val="28"/>
        </w:rPr>
        <w:t>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раждан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6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 аналогичный период в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b w:val="0"/>
          <w:i w:val="0"/>
          <w:color w:themeColor="text1" w:val="000000"/>
          <w:sz w:val="28"/>
          <w:u w:val="none"/>
        </w:rPr>
        <w:t>2023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color w:themeColor="text1" w:val="000000"/>
          <w:sz w:val="28"/>
        </w:rPr>
        <w:t xml:space="preserve">году </w:t>
      </w:r>
      <w:r>
        <w:rPr>
          <w:color w:themeColor="text1" w:val="000000"/>
          <w:sz w:val="28"/>
        </w:rPr>
        <w:t>в Министерство транспорта и дорожного с</w:t>
      </w:r>
      <w:r>
        <w:rPr>
          <w:color w:themeColor="text1" w:val="000000"/>
          <w:sz w:val="28"/>
        </w:rPr>
        <w:t>троительства Камчатского к</w:t>
      </w:r>
      <w:r>
        <w:rPr>
          <w:color w:themeColor="text1" w:val="000000"/>
          <w:sz w:val="28"/>
        </w:rPr>
        <w:t>рая поступило на рассмотрение 47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обращение</w:t>
      </w:r>
      <w:r>
        <w:rPr>
          <w:color w:themeColor="text1" w:val="000000"/>
          <w:sz w:val="28"/>
        </w:rPr>
        <w:t xml:space="preserve"> граждан и в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 xml:space="preserve"> г</w:t>
      </w:r>
      <w:r>
        <w:rPr>
          <w:b w:val="0"/>
          <w:color w:themeColor="text1" w:val="000000"/>
          <w:sz w:val="28"/>
        </w:rPr>
        <w:t>оду</w:t>
      </w:r>
      <w:r>
        <w:rPr>
          <w:b w:val="0"/>
          <w:color w:themeColor="text1" w:val="000000"/>
          <w:sz w:val="28"/>
        </w:rPr>
        <w:t xml:space="preserve"> 87</w:t>
      </w:r>
      <w:r>
        <w:rPr>
          <w:b w:val="0"/>
          <w:color w:themeColor="text1" w:val="000000"/>
          <w:sz w:val="28"/>
        </w:rPr>
        <w:t xml:space="preserve"> обращений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sz w:val="28"/>
        </w:rPr>
        <w:t>граждан.</w:t>
      </w:r>
      <w:r>
        <w:rPr>
          <w:b w:val="0"/>
          <w:color w:themeColor="text1" w:val="000000"/>
          <w:sz w:val="28"/>
        </w:rPr>
        <w:t xml:space="preserve"> </w:t>
      </w:r>
    </w:p>
    <w:p w14:paraId="07000000">
      <w:pPr>
        <w:spacing w:line="276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Из общ</w:t>
      </w:r>
      <w:r>
        <w:rPr>
          <w:color w:themeColor="text1" w:val="000000"/>
          <w:sz w:val="28"/>
        </w:rPr>
        <w:t>е</w:t>
      </w:r>
      <w:r>
        <w:rPr>
          <w:color w:themeColor="text1" w:val="000000"/>
          <w:sz w:val="28"/>
        </w:rPr>
        <w:t>го количества</w:t>
      </w:r>
      <w:r>
        <w:rPr>
          <w:color w:themeColor="text1" w:val="000000"/>
          <w:sz w:val="28"/>
        </w:rPr>
        <w:t xml:space="preserve"> о</w:t>
      </w:r>
      <w:r>
        <w:rPr>
          <w:color w:themeColor="text1" w:val="000000"/>
          <w:sz w:val="28"/>
        </w:rPr>
        <w:t>бращени</w:t>
      </w:r>
      <w:r>
        <w:rPr>
          <w:color w:themeColor="text1" w:val="000000"/>
          <w:sz w:val="28"/>
        </w:rPr>
        <w:t>й: на личном приеме у Министра получено — 33,</w:t>
      </w:r>
      <w:r>
        <w:rPr>
          <w:color w:themeColor="text1" w:val="000000"/>
          <w:sz w:val="28"/>
        </w:rPr>
        <w:t xml:space="preserve"> через интернет-приемн</w:t>
      </w:r>
      <w:r>
        <w:rPr>
          <w:color w:themeColor="text1" w:val="000000"/>
          <w:sz w:val="28"/>
        </w:rPr>
        <w:t>ую – 24</w:t>
      </w:r>
      <w:r>
        <w:rPr>
          <w:color w:themeColor="text1" w:val="000000"/>
          <w:sz w:val="28"/>
        </w:rPr>
        <w:t>, по электронной почте 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2,</w:t>
      </w:r>
      <w:r>
        <w:rPr>
          <w:color w:themeColor="text1" w:val="000000"/>
          <w:sz w:val="28"/>
        </w:rPr>
        <w:t xml:space="preserve"> перенаправлено от других исполнительных органов госуд</w:t>
      </w:r>
      <w:r>
        <w:rPr>
          <w:color w:themeColor="text1" w:val="000000"/>
          <w:sz w:val="28"/>
        </w:rPr>
        <w:t>арстве</w:t>
      </w:r>
      <w:r>
        <w:rPr>
          <w:color w:themeColor="text1" w:val="000000"/>
          <w:sz w:val="28"/>
        </w:rPr>
        <w:t>нной власти Камчатского края – 11</w:t>
      </w:r>
      <w:r>
        <w:rPr>
          <w:color w:themeColor="text1" w:val="000000"/>
          <w:sz w:val="28"/>
        </w:rPr>
        <w:t>.</w:t>
      </w:r>
    </w:p>
    <w:p w14:paraId="08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Большинство обращений поступили от граждан, проживающих на территории </w:t>
      </w:r>
      <w:r>
        <w:rPr>
          <w:color w:themeColor="text1" w:val="000000"/>
          <w:sz w:val="28"/>
        </w:rPr>
        <w:t>Петропавловск-Камчатско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о городского округа - 42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обращения;</w:t>
      </w:r>
      <w:r>
        <w:rPr>
          <w:color w:themeColor="text1" w:val="000000"/>
          <w:sz w:val="28"/>
        </w:rPr>
        <w:t xml:space="preserve"> из Елизовского муниципального района –</w:t>
      </w:r>
      <w:r>
        <w:rPr>
          <w:color w:themeColor="text1" w:val="000000"/>
          <w:sz w:val="28"/>
        </w:rPr>
        <w:t xml:space="preserve"> 13;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Пенжи</w:t>
      </w:r>
      <w:r>
        <w:rPr>
          <w:color w:themeColor="text1" w:val="000000"/>
          <w:sz w:val="28"/>
        </w:rPr>
        <w:t>нского</w:t>
      </w:r>
      <w:r>
        <w:rPr>
          <w:color w:themeColor="text1" w:val="000000"/>
          <w:sz w:val="28"/>
        </w:rPr>
        <w:t xml:space="preserve"> муниципального района – 1;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Ви</w:t>
      </w:r>
      <w:r>
        <w:rPr>
          <w:color w:themeColor="text1" w:val="000000"/>
          <w:sz w:val="28"/>
        </w:rPr>
        <w:t>лючинского</w:t>
      </w:r>
      <w:r>
        <w:rPr>
          <w:color w:themeColor="text1" w:val="000000"/>
          <w:sz w:val="28"/>
        </w:rPr>
        <w:t xml:space="preserve"> городского округа – 1;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из Усть-Большерецкого муниципального района –</w:t>
      </w:r>
      <w:r>
        <w:rPr>
          <w:color w:themeColor="text1" w:val="000000"/>
          <w:sz w:val="28"/>
        </w:rPr>
        <w:t xml:space="preserve"> 3;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Усть</w:t>
      </w:r>
      <w:r>
        <w:rPr>
          <w:color w:themeColor="text1" w:val="000000"/>
          <w:sz w:val="28"/>
        </w:rPr>
        <w:t>-Камча</w:t>
      </w:r>
      <w:r>
        <w:rPr>
          <w:color w:themeColor="text1" w:val="000000"/>
          <w:sz w:val="28"/>
        </w:rPr>
        <w:t>тского муниципального района -</w:t>
      </w:r>
      <w:r>
        <w:rPr>
          <w:color w:themeColor="text1" w:val="000000"/>
          <w:sz w:val="28"/>
        </w:rPr>
        <w:t xml:space="preserve"> 4;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</w:t>
      </w:r>
      <w:r>
        <w:rPr>
          <w:color w:themeColor="text1" w:val="000000"/>
          <w:sz w:val="28"/>
        </w:rPr>
        <w:t>Тигильского</w:t>
      </w:r>
      <w:r>
        <w:rPr>
          <w:color w:themeColor="text1" w:val="000000"/>
          <w:sz w:val="28"/>
        </w:rPr>
        <w:t xml:space="preserve"> муниципального района – 1; из других субъектов Российской Федерации - 5</w:t>
      </w:r>
      <w:r>
        <w:rPr>
          <w:color w:themeColor="text1" w:val="000000"/>
          <w:sz w:val="28"/>
        </w:rPr>
        <w:t>.</w:t>
      </w:r>
    </w:p>
    <w:p w14:paraId="09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Анализ содержания обращений показывает, что актуальными для жителей края </w:t>
      </w:r>
      <w:r>
        <w:rPr>
          <w:color w:themeColor="text1" w:val="000000"/>
          <w:sz w:val="28"/>
        </w:rPr>
        <w:t>являются</w:t>
      </w:r>
      <w:r>
        <w:rPr>
          <w:color w:themeColor="text1" w:val="000000"/>
          <w:sz w:val="28"/>
        </w:rPr>
        <w:t xml:space="preserve">, вопросы ремонта, содержания, реконструкции и </w:t>
      </w:r>
      <w:r>
        <w:rPr>
          <w:color w:themeColor="text1" w:val="000000"/>
          <w:sz w:val="28"/>
        </w:rPr>
        <w:t>строительства автомобильных дорог регионального</w:t>
      </w:r>
      <w:r>
        <w:rPr>
          <w:color w:themeColor="text1" w:val="000000"/>
          <w:sz w:val="28"/>
        </w:rPr>
        <w:t xml:space="preserve"> з</w:t>
      </w:r>
      <w:r>
        <w:rPr>
          <w:color w:themeColor="text1" w:val="000000"/>
          <w:sz w:val="28"/>
        </w:rPr>
        <w:t xml:space="preserve">начения, установка дорожных знаков и безопасность дорожного движения, государственная регистрация самоходной техники в отдаленных районах края, количество субсидированных </w:t>
      </w:r>
      <w:r>
        <w:rPr>
          <w:color w:themeColor="text1" w:val="000000"/>
          <w:sz w:val="28"/>
        </w:rPr>
        <w:t>авиабилетов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а также государственная политика в обл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>сти перевозки пассажиров и багажа легковым такси.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2024-10-08T03:43:35Z</dcterms:modified>
</cp:coreProperties>
</file>